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284BD2">
              <w:rPr>
                <w:lang w:val="sr-Cyrl-RS"/>
              </w:rPr>
              <w:t>71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B24AAF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Топлотне појаве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284BD2" w:rsidP="007E0C98">
            <w:pPr>
              <w:jc w:val="center"/>
              <w:rPr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Агрегатна стања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F074AF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D4301A" w:rsidRPr="0016236C" w:rsidRDefault="005E7E29" w:rsidP="0016236C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д</w:t>
            </w:r>
            <w:r w:rsidR="00E11ED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а уч</w:t>
            </w:r>
            <w:r w:rsidR="0016236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еници разумеју </w:t>
            </w:r>
            <w:r w:rsidR="005B30C9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агрегатна стања супстанције</w:t>
            </w:r>
            <w:r w:rsidR="0016236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</w:t>
            </w:r>
            <w:r w:rsidR="00E11ED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</w:t>
            </w:r>
            <w:r w:rsidR="00B0766A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;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36B40" w:rsidRPr="00836B40" w:rsidRDefault="00836B40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E92BFA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E14175" w:rsidRPr="005B30C9" w:rsidRDefault="005B30C9" w:rsidP="005B30C9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агрегатна стања супстанције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F6472D">
              <w:rPr>
                <w:rFonts w:cstheme="minorHAnsi"/>
                <w:sz w:val="20"/>
                <w:szCs w:val="20"/>
                <w:lang w:val="sr-Cyrl-RS"/>
              </w:rPr>
              <w:t>, групни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956FF8" w:rsidRDefault="005B30C9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Коцкице леда, посуда, свећа или Бунзеов пламеник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E4B16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( 5</w:t>
            </w:r>
            <w:r w:rsidR="00D349B0"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B520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</w:t>
            </w:r>
            <w:r w:rsidR="00836B40">
              <w:rPr>
                <w:lang w:val="sr-Cyrl-RS"/>
              </w:rPr>
              <w:t xml:space="preserve"> од по три ученика</w:t>
            </w:r>
            <w:r>
              <w:rPr>
                <w:lang w:val="sr-Cyrl-RS"/>
              </w:rPr>
              <w:t xml:space="preserve">, наставник упућује ученике </w:t>
            </w:r>
            <w:r w:rsidR="00A81897">
              <w:rPr>
                <w:lang w:val="sr-Cyrl-RS"/>
              </w:rPr>
              <w:t>да изведу</w:t>
            </w:r>
            <w:r>
              <w:rPr>
                <w:lang w:val="sr-Cyrl-RS"/>
              </w:rPr>
              <w:t xml:space="preserve"> демонстрациони оглед </w:t>
            </w:r>
            <w:r w:rsidR="00A81897">
              <w:rPr>
                <w:lang w:val="sr-Cyrl-RS"/>
              </w:rPr>
              <w:t>који се у уџбенику налази на страни</w:t>
            </w:r>
            <w:r w:rsidR="005B30C9">
              <w:rPr>
                <w:lang w:val="sr-Cyrl-RS"/>
              </w:rPr>
              <w:t xml:space="preserve"> 130</w:t>
            </w:r>
            <w:r>
              <w:rPr>
                <w:lang w:val="sr-Cyrl-RS"/>
              </w:rPr>
              <w:t xml:space="preserve">. </w:t>
            </w:r>
            <w:r w:rsidR="0083509C">
              <w:rPr>
                <w:lang w:val="sr-Cyrl-RS"/>
              </w:rPr>
              <w:t>Ученици реализују оглед, током</w:t>
            </w:r>
            <w:r w:rsidR="00A81897">
              <w:rPr>
                <w:lang w:val="sr-Cyrl-RS"/>
              </w:rPr>
              <w:t xml:space="preserve"> реализације огл</w:t>
            </w:r>
            <w:r w:rsidR="0083509C">
              <w:rPr>
                <w:lang w:val="sr-Cyrl-RS"/>
              </w:rPr>
              <w:t>еда наставник надгледа рад ученика и одговара на питања ученика. Ученици у школским свескам</w:t>
            </w:r>
            <w:r w:rsidR="00A81897">
              <w:rPr>
                <w:lang w:val="sr-Cyrl-RS"/>
              </w:rPr>
              <w:t xml:space="preserve">а анализирају и илуструју </w:t>
            </w:r>
            <w:bookmarkStart w:id="0" w:name="_GoBack"/>
            <w:bookmarkEnd w:id="0"/>
            <w:r w:rsidR="0083509C">
              <w:rPr>
                <w:lang w:val="sr-Cyrl-RS"/>
              </w:rPr>
              <w:t>оглед.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</w:t>
            </w:r>
            <w:r w:rsidR="00DE4B16">
              <w:rPr>
                <w:lang w:val="sr-Cyrl-RS"/>
              </w:rPr>
              <w:t xml:space="preserve"> 30</w:t>
            </w:r>
            <w:r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3509C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изведеног огледа, пре</w:t>
            </w:r>
            <w:r w:rsidR="00CF5D65">
              <w:rPr>
                <w:lang w:val="sr-Cyrl-RS"/>
              </w:rPr>
              <w:t>д</w:t>
            </w:r>
            <w:r>
              <w:rPr>
                <w:lang w:val="sr-Cyrl-RS"/>
              </w:rPr>
              <w:t xml:space="preserve">ставници сваке групе </w:t>
            </w:r>
            <w:r w:rsidR="004B4B7E">
              <w:rPr>
                <w:lang w:val="sr-Cyrl-RS"/>
              </w:rPr>
              <w:t>излажу</w:t>
            </w:r>
            <w:r w:rsidR="00A81897">
              <w:rPr>
                <w:lang w:val="sr-Cyrl-RS"/>
              </w:rPr>
              <w:t xml:space="preserve"> своја запажања која је група уочила током извођења демонстрационог огледа.</w:t>
            </w:r>
            <w:r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F22492" w:rsidRDefault="00F22492" w:rsidP="00F22492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Анализирајући са ученицима запажања која су изнели изводећи демонстрациони оглед наставник наставник </w:t>
            </w:r>
            <w:r w:rsidR="005B30C9">
              <w:rPr>
                <w:lang w:val="sr-Cyrl-RS"/>
              </w:rPr>
              <w:t>објашњава ученицима фазне прелазе и агрегатна стања супстанције.</w:t>
            </w:r>
            <w:r w:rsidRPr="00106FDE">
              <w:rPr>
                <w:lang w:val="sr-Cyrl-RS"/>
              </w:rPr>
              <w:t xml:space="preserve"> </w:t>
            </w:r>
            <w:r w:rsidR="005B30C9">
              <w:rPr>
                <w:lang w:val="sr-Cyrl-RS"/>
              </w:rPr>
              <w:t>Овде треба нагласити да су међумолекулске силе најјаче код чврстог агрегатног стања и да су молекули најјаче повезани. Повећањем температуре долази до топљења, односно преласка у течно агрегатно стање, даљим загревањем до испаравања и на крају наставник објашњава кондезацију.</w:t>
            </w:r>
          </w:p>
          <w:p w:rsidR="0083509C" w:rsidRPr="0083509C" w:rsidRDefault="0083509C" w:rsidP="00F431A1">
            <w:pPr>
              <w:jc w:val="both"/>
              <w:rPr>
                <w:lang w:val="sr-Cyrl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DE4B16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Завршни део часа ( 10 </w:t>
            </w:r>
            <w:r w:rsidR="00F431A1">
              <w:rPr>
                <w:lang w:val="sr-Cyrl-RS"/>
              </w:rPr>
              <w:t>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5B30C9" w:rsidP="00206CC4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>На примеру сусптанција из бокса „Да објаснимо“ са стране 131. наставник проверава  оствареност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8"/>
  </w:num>
  <w:num w:numId="5">
    <w:abstractNumId w:val="4"/>
  </w:num>
  <w:num w:numId="6">
    <w:abstractNumId w:val="0"/>
  </w:num>
  <w:num w:numId="7">
    <w:abstractNumId w:val="1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33090"/>
    <w:rsid w:val="00106FDE"/>
    <w:rsid w:val="0016236C"/>
    <w:rsid w:val="00196F0B"/>
    <w:rsid w:val="00206CC4"/>
    <w:rsid w:val="00224942"/>
    <w:rsid w:val="002256EA"/>
    <w:rsid w:val="00246989"/>
    <w:rsid w:val="00284BD2"/>
    <w:rsid w:val="002D7ADC"/>
    <w:rsid w:val="00331335"/>
    <w:rsid w:val="004B4B7E"/>
    <w:rsid w:val="00521BFC"/>
    <w:rsid w:val="00591358"/>
    <w:rsid w:val="005B30C9"/>
    <w:rsid w:val="005B35D3"/>
    <w:rsid w:val="005E7E29"/>
    <w:rsid w:val="00654812"/>
    <w:rsid w:val="006D16AC"/>
    <w:rsid w:val="007804CD"/>
    <w:rsid w:val="007B6B2E"/>
    <w:rsid w:val="007E0C98"/>
    <w:rsid w:val="008213B1"/>
    <w:rsid w:val="0083509C"/>
    <w:rsid w:val="00836B40"/>
    <w:rsid w:val="00883E2B"/>
    <w:rsid w:val="00932AC9"/>
    <w:rsid w:val="00956FF8"/>
    <w:rsid w:val="009E07F4"/>
    <w:rsid w:val="00A81897"/>
    <w:rsid w:val="00B0766A"/>
    <w:rsid w:val="00B24AAF"/>
    <w:rsid w:val="00B43256"/>
    <w:rsid w:val="00B520B9"/>
    <w:rsid w:val="00B816AA"/>
    <w:rsid w:val="00BB27D3"/>
    <w:rsid w:val="00C7291F"/>
    <w:rsid w:val="00CF5D65"/>
    <w:rsid w:val="00D349B0"/>
    <w:rsid w:val="00D37F65"/>
    <w:rsid w:val="00D4301A"/>
    <w:rsid w:val="00D74272"/>
    <w:rsid w:val="00D77B1E"/>
    <w:rsid w:val="00DA2FB4"/>
    <w:rsid w:val="00DE4B16"/>
    <w:rsid w:val="00E113E7"/>
    <w:rsid w:val="00E11EDC"/>
    <w:rsid w:val="00E14175"/>
    <w:rsid w:val="00E35BC7"/>
    <w:rsid w:val="00E4769C"/>
    <w:rsid w:val="00E92BFA"/>
    <w:rsid w:val="00E93A3D"/>
    <w:rsid w:val="00F074AF"/>
    <w:rsid w:val="00F22492"/>
    <w:rsid w:val="00F431A1"/>
    <w:rsid w:val="00F6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7B3BB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7</cp:revision>
  <dcterms:created xsi:type="dcterms:W3CDTF">2025-06-07T12:43:00Z</dcterms:created>
  <dcterms:modified xsi:type="dcterms:W3CDTF">2025-06-11T16:38:00Z</dcterms:modified>
</cp:coreProperties>
</file>